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25" w:rsidRDefault="00481C25" w:rsidP="00481C25">
      <w:pPr>
        <w:jc w:val="center"/>
        <w:rPr>
          <w:rFonts w:cs="Arial"/>
          <w:b/>
          <w:sz w:val="22"/>
          <w:szCs w:val="22"/>
        </w:rPr>
      </w:pPr>
      <w:bookmarkStart w:id="0" w:name="_GoBack"/>
      <w:bookmarkEnd w:id="0"/>
    </w:p>
    <w:p w:rsidR="0027033D" w:rsidRPr="00515173" w:rsidRDefault="0027033D" w:rsidP="00481C25">
      <w:pPr>
        <w:jc w:val="center"/>
        <w:rPr>
          <w:rFonts w:cs="Arial"/>
          <w:b/>
          <w:sz w:val="22"/>
          <w:szCs w:val="22"/>
        </w:rPr>
      </w:pPr>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8467D7" w:rsidRDefault="0027033D" w:rsidP="0027033D">
      <w:pPr>
        <w:spacing w:line="360" w:lineRule="auto"/>
        <w:jc w:val="center"/>
        <w:rPr>
          <w:rFonts w:cs="Arial"/>
          <w:color w:val="FF0000"/>
          <w:sz w:val="22"/>
          <w:szCs w:val="22"/>
        </w:rPr>
      </w:pPr>
      <w:r w:rsidRPr="00515173">
        <w:rPr>
          <w:rFonts w:cs="Arial"/>
          <w:b/>
          <w:sz w:val="22"/>
          <w:szCs w:val="22"/>
        </w:rPr>
        <w:t>Construction Contract</w:t>
      </w:r>
      <w:r w:rsidR="008467D7">
        <w:rPr>
          <w:rFonts w:cs="Arial"/>
          <w:b/>
          <w:sz w:val="22"/>
          <w:szCs w:val="22"/>
        </w:rPr>
        <w:t xml:space="preserve">  -  </w:t>
      </w:r>
      <w:r w:rsidR="008467D7">
        <w:rPr>
          <w:rFonts w:cs="Arial"/>
          <w:b/>
          <w:color w:val="FF0000"/>
          <w:sz w:val="22"/>
          <w:szCs w:val="22"/>
        </w:rPr>
        <w:t>DRAFT</w:t>
      </w:r>
    </w:p>
    <w:p w:rsidR="00481C25" w:rsidRPr="00515173" w:rsidRDefault="00481C25" w:rsidP="0027033D">
      <w:pPr>
        <w:spacing w:line="360" w:lineRule="auto"/>
        <w:jc w:val="right"/>
        <w:rPr>
          <w:rFonts w:cs="Arial"/>
          <w:sz w:val="22"/>
          <w:szCs w:val="22"/>
        </w:rPr>
      </w:pPr>
    </w:p>
    <w:p w:rsidR="0027033D" w:rsidRPr="00515173" w:rsidRDefault="0027033D" w:rsidP="0027033D">
      <w:pPr>
        <w:rPr>
          <w:rFonts w:cs="Arial"/>
          <w:sz w:val="22"/>
          <w:szCs w:val="22"/>
        </w:rPr>
      </w:pPr>
      <w:r w:rsidRPr="00515173">
        <w:rPr>
          <w:rFonts w:cs="Arial"/>
          <w:b/>
          <w:sz w:val="22"/>
          <w:szCs w:val="22"/>
        </w:rPr>
        <w:t>THIS CONTRACT,</w:t>
      </w:r>
      <w:r w:rsidRPr="00515173">
        <w:rPr>
          <w:rFonts w:cs="Arial"/>
          <w:sz w:val="22"/>
          <w:szCs w:val="22"/>
        </w:rPr>
        <w:t xml:space="preserve"> dated this </w:t>
      </w:r>
      <w:r w:rsidR="00E44D20">
        <w:rPr>
          <w:rFonts w:cs="Arial"/>
          <w:sz w:val="22"/>
          <w:szCs w:val="22"/>
        </w:rPr>
        <w:t>________</w:t>
      </w:r>
      <w:r w:rsidRPr="00515173">
        <w:rPr>
          <w:rFonts w:cs="Arial"/>
          <w:sz w:val="22"/>
          <w:szCs w:val="22"/>
        </w:rPr>
        <w:t xml:space="preserve"> day of </w:t>
      </w:r>
      <w:r w:rsidR="006742EE">
        <w:rPr>
          <w:rFonts w:cs="Arial"/>
          <w:sz w:val="22"/>
          <w:szCs w:val="22"/>
        </w:rPr>
        <w:t>_______________</w:t>
      </w:r>
      <w:r w:rsidR="00047D08">
        <w:rPr>
          <w:rFonts w:cs="Arial"/>
          <w:sz w:val="22"/>
          <w:szCs w:val="22"/>
        </w:rPr>
        <w:t>, 20</w:t>
      </w:r>
      <w:r w:rsidR="000805AD">
        <w:rPr>
          <w:rFonts w:cs="Arial"/>
          <w:sz w:val="22"/>
          <w:szCs w:val="22"/>
        </w:rPr>
        <w:t>2</w:t>
      </w:r>
      <w:r w:rsidR="009F1F37">
        <w:rPr>
          <w:rFonts w:cs="Arial"/>
          <w:sz w:val="22"/>
          <w:szCs w:val="22"/>
        </w:rPr>
        <w:t>4</w:t>
      </w:r>
      <w:r w:rsidRPr="00515173">
        <w:rPr>
          <w:rFonts w:cs="Arial"/>
          <w:sz w:val="22"/>
          <w:szCs w:val="22"/>
        </w:rPr>
        <w:t xml:space="preserve">, between the INGHAM COUNTY LAND BANK FAST TRACK AUTHORITY, a Michigan public corporation, whose address is 3024 Turner Street, Lansing, Michigan 48906 (hereinafter the “Land Bank”) and </w:t>
      </w:r>
      <w:r w:rsidR="006742EE">
        <w:rPr>
          <w:rFonts w:cs="Arial"/>
          <w:sz w:val="22"/>
          <w:szCs w:val="22"/>
        </w:rPr>
        <w:t>_________________________________</w:t>
      </w:r>
      <w:r w:rsidRPr="00515173">
        <w:rPr>
          <w:rFonts w:cs="Arial"/>
          <w:sz w:val="22"/>
          <w:szCs w:val="22"/>
        </w:rPr>
        <w:t xml:space="preserve">, whose address is </w:t>
      </w:r>
      <w:r w:rsidR="006742EE">
        <w:rPr>
          <w:rFonts w:cs="Arial"/>
          <w:sz w:val="22"/>
          <w:szCs w:val="22"/>
        </w:rPr>
        <w:t>_________________________ (</w:t>
      </w:r>
      <w:r w:rsidRPr="00515173">
        <w:rPr>
          <w:rFonts w:cs="Arial"/>
          <w:sz w:val="22"/>
          <w:szCs w:val="22"/>
        </w:rPr>
        <w:t xml:space="preserve">hereinafter “Contractor”), sets forth the terms and conditions for work </w:t>
      </w:r>
      <w:r w:rsidR="002031E2">
        <w:rPr>
          <w:rFonts w:cs="Arial"/>
          <w:sz w:val="22"/>
          <w:szCs w:val="22"/>
        </w:rPr>
        <w:t>to be performed pursuant to</w:t>
      </w:r>
      <w:r w:rsidR="000805AD">
        <w:rPr>
          <w:rFonts w:cs="Arial"/>
          <w:sz w:val="22"/>
          <w:szCs w:val="22"/>
        </w:rPr>
        <w:t xml:space="preserve"> “RFP </w:t>
      </w:r>
      <w:r w:rsidR="001471F2">
        <w:rPr>
          <w:rFonts w:cs="Arial"/>
          <w:sz w:val="22"/>
          <w:szCs w:val="22"/>
        </w:rPr>
        <w:t>Reo/Hillcrest</w:t>
      </w:r>
      <w:r w:rsidR="006742EE">
        <w:rPr>
          <w:rFonts w:cs="Arial"/>
          <w:sz w:val="22"/>
          <w:szCs w:val="22"/>
        </w:rPr>
        <w:t xml:space="preserve"> 06-2023</w:t>
      </w:r>
      <w:r w:rsidR="00573036">
        <w:rPr>
          <w:rFonts w:cs="Arial"/>
          <w:sz w:val="22"/>
          <w:szCs w:val="22"/>
        </w:rPr>
        <w:t>”</w:t>
      </w:r>
      <w:r w:rsidR="002031E2">
        <w:rPr>
          <w:rFonts w:cs="Arial"/>
          <w:sz w:val="22"/>
          <w:szCs w:val="22"/>
        </w:rPr>
        <w:t>.</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 xml:space="preserve">for and in consideration of the mutual promises contained herein and the payment in the amount of </w:t>
      </w:r>
      <w:r w:rsidR="006742EE">
        <w:rPr>
          <w:rFonts w:cs="Arial"/>
          <w:sz w:val="22"/>
          <w:szCs w:val="22"/>
        </w:rPr>
        <w:t>___________________</w:t>
      </w:r>
      <w:r w:rsidR="008467D7">
        <w:rPr>
          <w:rFonts w:cs="Arial"/>
          <w:sz w:val="22"/>
          <w:szCs w:val="22"/>
        </w:rPr>
        <w:t>___</w:t>
      </w:r>
      <w:r w:rsidR="006742EE">
        <w:rPr>
          <w:rFonts w:cs="Arial"/>
          <w:sz w:val="22"/>
          <w:szCs w:val="22"/>
        </w:rPr>
        <w:t>_</w:t>
      </w:r>
      <w:r w:rsidR="00573036">
        <w:rPr>
          <w:rFonts w:cs="Arial"/>
          <w:sz w:val="22"/>
          <w:szCs w:val="22"/>
        </w:rPr>
        <w:t xml:space="preserve"> </w:t>
      </w:r>
      <w:r w:rsidRPr="00515173">
        <w:rPr>
          <w:rFonts w:cs="Arial"/>
          <w:sz w:val="22"/>
          <w:szCs w:val="22"/>
        </w:rPr>
        <w:t xml:space="preserve">Dollars and </w:t>
      </w:r>
      <w:r w:rsidR="006742EE">
        <w:rPr>
          <w:rFonts w:cs="Arial"/>
          <w:sz w:val="22"/>
          <w:szCs w:val="22"/>
        </w:rPr>
        <w:t xml:space="preserve">_____ </w:t>
      </w:r>
      <w:r w:rsidRPr="00515173">
        <w:rPr>
          <w:rFonts w:cs="Arial"/>
          <w:sz w:val="22"/>
          <w:szCs w:val="22"/>
        </w:rPr>
        <w:t>Cents ($</w:t>
      </w:r>
      <w:r w:rsidR="006742EE">
        <w:rPr>
          <w:rFonts w:cs="Arial"/>
          <w:sz w:val="22"/>
          <w:szCs w:val="22"/>
        </w:rPr>
        <w:t>_______</w:t>
      </w:r>
      <w:r w:rsidR="008467D7">
        <w:rPr>
          <w:rFonts w:cs="Arial"/>
          <w:sz w:val="22"/>
          <w:szCs w:val="22"/>
        </w:rPr>
        <w:t>__</w:t>
      </w:r>
      <w:r w:rsidR="006742EE">
        <w:rPr>
          <w:rFonts w:cs="Arial"/>
          <w:sz w:val="22"/>
          <w:szCs w:val="22"/>
        </w:rPr>
        <w:t>_</w:t>
      </w:r>
      <w:r w:rsidRPr="00515173">
        <w:rPr>
          <w:rFonts w:cs="Arial"/>
          <w:sz w:val="22"/>
          <w:szCs w:val="22"/>
        </w:rPr>
        <w:t>) for</w:t>
      </w:r>
      <w:r w:rsidR="00573036">
        <w:rPr>
          <w:rFonts w:cs="Arial"/>
          <w:sz w:val="22"/>
          <w:szCs w:val="22"/>
        </w:rPr>
        <w:t xml:space="preserve"> construction</w:t>
      </w:r>
      <w:r w:rsidRPr="00515173">
        <w:rPr>
          <w:rFonts w:cs="Arial"/>
          <w:sz w:val="22"/>
          <w:szCs w:val="22"/>
        </w:rPr>
        <w:t xml:space="preserve">,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765ECA" w:rsidRDefault="00765ECA" w:rsidP="00765ECA">
      <w:pPr>
        <w:pStyle w:val="ListParagraph"/>
        <w:ind w:left="360"/>
        <w:rPr>
          <w:sz w:val="22"/>
          <w:szCs w:val="22"/>
          <w:u w:val="single"/>
        </w:rPr>
      </w:pPr>
    </w:p>
    <w:p w:rsidR="00765ECA" w:rsidRDefault="0027033D" w:rsidP="00765ECA">
      <w:pPr>
        <w:pStyle w:val="ListParagraph"/>
        <w:numPr>
          <w:ilvl w:val="0"/>
          <w:numId w:val="10"/>
        </w:numPr>
        <w:rPr>
          <w:sz w:val="22"/>
          <w:szCs w:val="22"/>
        </w:rPr>
      </w:pPr>
      <w:r w:rsidRPr="00765ECA">
        <w:rPr>
          <w:sz w:val="22"/>
          <w:szCs w:val="22"/>
        </w:rPr>
        <w:t xml:space="preserve">The specifications entitled </w:t>
      </w:r>
      <w:r w:rsidR="007851E3" w:rsidRPr="00765ECA">
        <w:rPr>
          <w:sz w:val="22"/>
          <w:szCs w:val="22"/>
        </w:rPr>
        <w:t>“</w:t>
      </w:r>
      <w:r w:rsidR="00573036">
        <w:rPr>
          <w:sz w:val="22"/>
          <w:szCs w:val="22"/>
        </w:rPr>
        <w:t xml:space="preserve">RFP </w:t>
      </w:r>
      <w:r w:rsidR="001471F2">
        <w:rPr>
          <w:sz w:val="22"/>
          <w:szCs w:val="22"/>
        </w:rPr>
        <w:t xml:space="preserve">Reo/Hillcrest </w:t>
      </w:r>
      <w:r w:rsidR="006742EE">
        <w:rPr>
          <w:sz w:val="22"/>
          <w:szCs w:val="22"/>
        </w:rPr>
        <w:t>06-2023</w:t>
      </w:r>
      <w:r w:rsidRPr="00765ECA">
        <w:rPr>
          <w:sz w:val="22"/>
          <w:szCs w:val="22"/>
        </w:rPr>
        <w:t xml:space="preserve">” (hereinafter “Work Specifications”) is hereby incorporated into this contract and made a part hereof for the purpose of setting forth the work to be performed under this contract.  </w:t>
      </w:r>
    </w:p>
    <w:p w:rsidR="00765ECA" w:rsidRDefault="00765ECA" w:rsidP="00765ECA">
      <w:pPr>
        <w:pStyle w:val="ListParagraph"/>
        <w:rPr>
          <w:sz w:val="22"/>
          <w:szCs w:val="22"/>
        </w:rPr>
      </w:pPr>
    </w:p>
    <w:p w:rsidR="00765ECA" w:rsidRPr="00765ECA" w:rsidRDefault="00765ECA" w:rsidP="00765ECA">
      <w:pPr>
        <w:pStyle w:val="ListParagraph"/>
        <w:numPr>
          <w:ilvl w:val="0"/>
          <w:numId w:val="10"/>
        </w:numPr>
        <w:rPr>
          <w:sz w:val="22"/>
          <w:szCs w:val="22"/>
        </w:rPr>
      </w:pPr>
      <w:r>
        <w:rPr>
          <w:sz w:val="22"/>
          <w:szCs w:val="22"/>
        </w:rPr>
        <w:t xml:space="preserve">Services performed and completed may </w:t>
      </w:r>
      <w:r w:rsidRPr="00647724">
        <w:rPr>
          <w:rFonts w:cs="Tahoma"/>
          <w:sz w:val="22"/>
        </w:rPr>
        <w:t xml:space="preserve">fall within the NSP-1, NSP-2, HOME, CDBG, HHF, </w:t>
      </w:r>
      <w:r w:rsidRPr="00647724">
        <w:rPr>
          <w:sz w:val="22"/>
        </w:rPr>
        <w:t xml:space="preserve">MSHDA grants, </w:t>
      </w:r>
      <w:r w:rsidR="009F1F37">
        <w:rPr>
          <w:sz w:val="22"/>
        </w:rPr>
        <w:t xml:space="preserve">MEDC grants, </w:t>
      </w:r>
      <w:r w:rsidRPr="00647724">
        <w:rPr>
          <w:sz w:val="22"/>
        </w:rPr>
        <w:t xml:space="preserve">Blight Elimination funds, </w:t>
      </w:r>
      <w:r>
        <w:rPr>
          <w:sz w:val="22"/>
        </w:rPr>
        <w:t xml:space="preserve">Covid-19, </w:t>
      </w:r>
      <w:proofErr w:type="spellStart"/>
      <w:r>
        <w:rPr>
          <w:sz w:val="22"/>
        </w:rPr>
        <w:t>Covid</w:t>
      </w:r>
      <w:proofErr w:type="spellEnd"/>
      <w:r>
        <w:rPr>
          <w:sz w:val="22"/>
        </w:rPr>
        <w:t xml:space="preserve"> CARES, </w:t>
      </w:r>
      <w:proofErr w:type="spellStart"/>
      <w:r>
        <w:rPr>
          <w:sz w:val="22"/>
        </w:rPr>
        <w:t>Covid</w:t>
      </w:r>
      <w:proofErr w:type="spellEnd"/>
      <w:r>
        <w:rPr>
          <w:sz w:val="22"/>
        </w:rPr>
        <w:t xml:space="preserve"> Variants, </w:t>
      </w:r>
      <w:r w:rsidR="00E44D20">
        <w:rPr>
          <w:sz w:val="22"/>
        </w:rPr>
        <w:t>American Rescue Plan Act funds,</w:t>
      </w:r>
      <w:r w:rsidR="00247FED">
        <w:rPr>
          <w:sz w:val="22"/>
        </w:rPr>
        <w:t xml:space="preserve"> </w:t>
      </w:r>
      <w:r w:rsidR="006742EE">
        <w:rPr>
          <w:sz w:val="22"/>
        </w:rPr>
        <w:t>Ingham County Housing Trust Funds</w:t>
      </w:r>
      <w:r w:rsidR="009F1F37">
        <w:rPr>
          <w:sz w:val="22"/>
        </w:rPr>
        <w:t xml:space="preserve">, State Land Bank Authority Funds, </w:t>
      </w:r>
      <w:r>
        <w:rPr>
          <w:sz w:val="22"/>
        </w:rPr>
        <w:t>Treasurer-owned</w:t>
      </w:r>
      <w:r w:rsidR="009F1F37">
        <w:rPr>
          <w:sz w:val="22"/>
        </w:rPr>
        <w:t>,</w:t>
      </w:r>
      <w:r>
        <w:rPr>
          <w:sz w:val="22"/>
        </w:rPr>
        <w:t xml:space="preserve"> </w:t>
      </w:r>
      <w:r w:rsidRPr="00647724">
        <w:rPr>
          <w:rFonts w:cs="Tahoma"/>
          <w:sz w:val="22"/>
        </w:rPr>
        <w:t>or Land Bank funding programs.</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t>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t xml:space="preserve">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lastRenderedPageBreak/>
        <w:t>Contractor shall at all times enforce good order among his/her employees and shall not employ at the work site any disorderly, intemperate, or unfit person or anyone not skilled in the work assigned to him/her.  The Contractor, or a competent person having authority to act for him/her, shall be at the construction site whenever work is underway.  The Contractor shall have the drawings and specifications available on the site at all times.</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t xml:space="preserve">The Contractor shall at all times permit and facilitate the on-site inspection of all work by the City of Lansing for compliance with the Building Code, and work called for under this Contract.  </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t>The Contractor shall properly protect all new and existing work from damage.  Contractor shall fully comply with all applicable construction and safety laws and regulations promulgated by the State of Michigan and its concerned departments.</w:t>
      </w:r>
    </w:p>
    <w:p w:rsidR="00765ECA" w:rsidRPr="00765ECA" w:rsidRDefault="00765ECA" w:rsidP="00765ECA">
      <w:pPr>
        <w:pStyle w:val="ListParagraph"/>
        <w:rPr>
          <w:sz w:val="22"/>
          <w:szCs w:val="22"/>
        </w:rPr>
      </w:pPr>
    </w:p>
    <w:p w:rsidR="0027033D" w:rsidRPr="00765ECA" w:rsidRDefault="0027033D" w:rsidP="00765ECA">
      <w:pPr>
        <w:pStyle w:val="ListParagraph"/>
        <w:numPr>
          <w:ilvl w:val="0"/>
          <w:numId w:val="10"/>
        </w:numPr>
        <w:rPr>
          <w:sz w:val="22"/>
          <w:szCs w:val="22"/>
        </w:rPr>
      </w:pPr>
      <w:r w:rsidRPr="00765ECA">
        <w:rPr>
          <w:sz w:val="22"/>
          <w:szCs w:val="22"/>
        </w:rPr>
        <w:t>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9D45AF" w:rsidRPr="009D45AF" w:rsidRDefault="0027033D" w:rsidP="009D45AF">
      <w:pPr>
        <w:numPr>
          <w:ilvl w:val="0"/>
          <w:numId w:val="1"/>
        </w:numPr>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009D45AF" w:rsidRPr="009D45AF">
        <w:rPr>
          <w:rFonts w:cs="Arial"/>
          <w:sz w:val="22"/>
          <w:szCs w:val="22"/>
        </w:rPr>
        <w:t>Contractor’s bid on the Work Specifications is hereby accepted by the Land Bank, with any modifications that have been noted by the parties, subject to an executed Proceed to Work Order.</w:t>
      </w:r>
      <w:r w:rsidR="009D45AF" w:rsidRPr="009D45AF">
        <w:rPr>
          <w:rFonts w:cs="Arial"/>
          <w:sz w:val="22"/>
          <w:szCs w:val="22"/>
        </w:rPr>
        <w:br/>
      </w:r>
      <w:r w:rsidR="009D45AF" w:rsidRPr="009D45AF">
        <w:rPr>
          <w:rFonts w:cs="Arial"/>
          <w:sz w:val="22"/>
          <w:szCs w:val="22"/>
        </w:rPr>
        <w:br/>
        <w:t xml:space="preserve">Upon acceptance of the bid and submission of evidence of satisfactory insurance coverage and professional licensure, the work to be performed under this contract shall begin within </w:t>
      </w:r>
      <w:r w:rsidR="009D45AF" w:rsidRPr="009D45AF">
        <w:rPr>
          <w:rFonts w:cs="Arial"/>
          <w:sz w:val="22"/>
          <w:szCs w:val="22"/>
          <w:u w:val="single"/>
        </w:rPr>
        <w:t>Ten (10) days</w:t>
      </w:r>
      <w:r w:rsidR="009D45AF" w:rsidRPr="009D45AF">
        <w:rPr>
          <w:rFonts w:cs="Arial"/>
          <w:sz w:val="22"/>
          <w:szCs w:val="22"/>
        </w:rPr>
        <w:t xml:space="preserve"> from the date the Proceed to Work Order is issued.</w:t>
      </w:r>
    </w:p>
    <w:p w:rsidR="009D45AF" w:rsidRPr="00515173" w:rsidRDefault="009D45AF" w:rsidP="009D45AF">
      <w:pPr>
        <w:ind w:left="360"/>
        <w:rPr>
          <w:rFonts w:cs="Arial"/>
          <w:sz w:val="22"/>
          <w:szCs w:val="22"/>
        </w:rPr>
      </w:pPr>
    </w:p>
    <w:p w:rsidR="009D45AF" w:rsidRPr="00515173" w:rsidRDefault="009D45AF" w:rsidP="009D45AF">
      <w:pPr>
        <w:ind w:left="360"/>
        <w:rPr>
          <w:rFonts w:cs="Arial"/>
          <w:sz w:val="22"/>
          <w:szCs w:val="22"/>
        </w:rPr>
      </w:pPr>
      <w:r w:rsidRPr="00515173">
        <w:rPr>
          <w:rFonts w:cs="Arial"/>
          <w:sz w:val="22"/>
          <w:szCs w:val="22"/>
        </w:rPr>
        <w:t>Contracted work is subject to availability of funds.</w:t>
      </w:r>
    </w:p>
    <w:p w:rsidR="0027033D" w:rsidRPr="00515173" w:rsidRDefault="0006044B" w:rsidP="009D45AF">
      <w:pPr>
        <w:ind w:left="360"/>
        <w:rPr>
          <w:rFonts w:cs="Arial"/>
          <w:sz w:val="22"/>
          <w:szCs w:val="22"/>
        </w:rPr>
      </w:pPr>
      <w:r>
        <w:rPr>
          <w:rFonts w:cs="Arial"/>
          <w:sz w:val="22"/>
          <w:szCs w:val="22"/>
        </w:rPr>
        <w:t xml:space="preserve"> </w:t>
      </w: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BB1BB9">
        <w:rPr>
          <w:rFonts w:cs="Arial"/>
          <w:sz w:val="22"/>
          <w:szCs w:val="22"/>
        </w:rPr>
        <w:t>by</w:t>
      </w:r>
      <w:r w:rsidR="009F1F37">
        <w:rPr>
          <w:rFonts w:cs="Arial"/>
          <w:sz w:val="22"/>
          <w:szCs w:val="22"/>
        </w:rPr>
        <w:t xml:space="preserve"> September 30, 2024</w:t>
      </w:r>
      <w:r w:rsidR="00CE68AF">
        <w:rPr>
          <w:rFonts w:cs="Arial"/>
          <w:sz w:val="22"/>
          <w:szCs w:val="22"/>
        </w:rPr>
        <w:t xml:space="preserve"> </w:t>
      </w:r>
      <w:r w:rsidRPr="00515173">
        <w:rPr>
          <w:rFonts w:cs="Arial"/>
          <w:sz w:val="22"/>
          <w:szCs w:val="22"/>
        </w:rPr>
        <w:t>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 xml:space="preserve">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w:t>
      </w:r>
      <w:r w:rsidRPr="00515173">
        <w:rPr>
          <w:rFonts w:cs="Arial"/>
          <w:sz w:val="22"/>
          <w:szCs w:val="22"/>
        </w:rPr>
        <w:lastRenderedPageBreak/>
        <w:t>amount and what is paid to the second contractor, providing Contractor performed sufficient and acceptable work.</w:t>
      </w:r>
    </w:p>
    <w:p w:rsidR="0027033D" w:rsidRPr="00515173" w:rsidRDefault="0027033D" w:rsidP="0027033D">
      <w:pPr>
        <w:ind w:left="360"/>
        <w:rPr>
          <w:rFonts w:cs="Arial"/>
          <w:sz w:val="22"/>
          <w:szCs w:val="22"/>
        </w:rPr>
      </w:pPr>
      <w:r w:rsidRPr="00515173">
        <w:rPr>
          <w:rFonts w:cs="Arial"/>
          <w:sz w:val="22"/>
          <w:szCs w:val="22"/>
        </w:rPr>
        <w:br/>
      </w:r>
      <w:r w:rsidRPr="00515173">
        <w:rPr>
          <w:rFonts w:cs="Arial"/>
          <w:sz w:val="22"/>
          <w:szCs w:val="22"/>
        </w:rPr>
        <w:tab/>
        <w:t xml:space="preserve">4.  It is agreed that if </w:t>
      </w:r>
      <w:r w:rsidR="00900134">
        <w:rPr>
          <w:rFonts w:cs="Arial"/>
          <w:sz w:val="22"/>
          <w:szCs w:val="22"/>
        </w:rPr>
        <w:t xml:space="preserve">at </w:t>
      </w:r>
      <w:r w:rsidRPr="00515173">
        <w:rPr>
          <w:rFonts w:cs="Arial"/>
          <w:sz w:val="22"/>
          <w:szCs w:val="22"/>
        </w:rPr>
        <w:t>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w:t>
      </w:r>
      <w:r w:rsidR="00900134">
        <w:rPr>
          <w:rFonts w:cs="Arial"/>
          <w:sz w:val="22"/>
          <w:szCs w:val="22"/>
        </w:rPr>
        <w:t>h</w:t>
      </w:r>
      <w:r w:rsidRPr="00515173">
        <w:rPr>
          <w:rFonts w:cs="Arial"/>
          <w:sz w:val="22"/>
          <w:szCs w:val="22"/>
        </w:rPr>
        <w:t>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r w:rsidRPr="00515173">
        <w:rPr>
          <w:rFonts w:cs="Arial"/>
          <w:sz w:val="22"/>
          <w:szCs w:val="22"/>
        </w:rPr>
        <w:t>It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27033D" w:rsidRPr="00515173" w:rsidRDefault="0027033D" w:rsidP="0027033D">
      <w:pPr>
        <w:ind w:left="360"/>
        <w:rPr>
          <w:rFonts w:cs="Arial"/>
          <w:sz w:val="22"/>
          <w:szCs w:val="22"/>
        </w:rPr>
      </w:pPr>
      <w:bookmarkStart w:id="1" w:name="_Hlk117513170"/>
      <w:r w:rsidRPr="00515173">
        <w:rPr>
          <w:rFonts w:cs="Arial"/>
          <w:sz w:val="22"/>
          <w:szCs w:val="22"/>
        </w:rPr>
        <w:lastRenderedPageBreak/>
        <w:t>Living wage is defined as an hourly wage rate equivalent to 125% of the</w:t>
      </w:r>
      <w:r w:rsidR="00011F79">
        <w:rPr>
          <w:rFonts w:cs="Arial"/>
          <w:sz w:val="22"/>
          <w:szCs w:val="22"/>
        </w:rPr>
        <w:t xml:space="preserve"> federal poverty level. For </w:t>
      </w:r>
      <w:r w:rsidR="00625219">
        <w:rPr>
          <w:rFonts w:cs="Arial"/>
          <w:sz w:val="22"/>
          <w:szCs w:val="22"/>
        </w:rPr>
        <w:t>202</w:t>
      </w:r>
      <w:r w:rsidR="009F1F37">
        <w:rPr>
          <w:rFonts w:cs="Arial"/>
          <w:sz w:val="22"/>
          <w:szCs w:val="22"/>
        </w:rPr>
        <w:t>4</w:t>
      </w:r>
      <w:r w:rsidRPr="00515173">
        <w:rPr>
          <w:rFonts w:cs="Arial"/>
          <w:sz w:val="22"/>
          <w:szCs w:val="22"/>
        </w:rPr>
        <w:t>, that figure is $</w:t>
      </w:r>
      <w:r w:rsidR="00625219">
        <w:rPr>
          <w:rFonts w:cs="Arial"/>
          <w:sz w:val="22"/>
          <w:szCs w:val="22"/>
        </w:rPr>
        <w:t>16.</w:t>
      </w:r>
      <w:r w:rsidR="009F1F37">
        <w:rPr>
          <w:rFonts w:cs="Arial"/>
          <w:sz w:val="22"/>
          <w:szCs w:val="22"/>
        </w:rPr>
        <w:t>2</w:t>
      </w:r>
      <w:r w:rsidR="00286571">
        <w:rPr>
          <w:rFonts w:cs="Arial"/>
          <w:sz w:val="22"/>
          <w:szCs w:val="22"/>
        </w:rPr>
        <w:t>7</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bookmarkEnd w:id="1"/>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7"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8"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lastRenderedPageBreak/>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00D82F19">
        <w:rPr>
          <w:rFonts w:cs="Arial"/>
          <w:sz w:val="22"/>
          <w:szCs w:val="22"/>
          <w:u w:val="single"/>
        </w:rPr>
        <w:t>One Hundred</w:t>
      </w:r>
      <w:r w:rsidRPr="00515173">
        <w:rPr>
          <w:rFonts w:cs="Arial"/>
          <w:sz w:val="22"/>
          <w:szCs w:val="22"/>
          <w:u w:val="single"/>
        </w:rPr>
        <w:t xml:space="preserve"> and zero/100ths dollars</w:t>
      </w:r>
      <w:r w:rsidRPr="00515173">
        <w:rPr>
          <w:rFonts w:cs="Arial"/>
          <w:sz w:val="22"/>
          <w:szCs w:val="22"/>
          <w:u w:val="single"/>
        </w:rPr>
        <w:softHyphen/>
      </w:r>
      <w:r w:rsidRPr="00515173">
        <w:rPr>
          <w:rFonts w:cs="Arial"/>
          <w:sz w:val="22"/>
          <w:szCs w:val="22"/>
        </w:rPr>
        <w:t xml:space="preserve"> (</w:t>
      </w:r>
      <w:r w:rsidR="00D82F19">
        <w:rPr>
          <w:rFonts w:cs="Arial"/>
          <w:sz w:val="22"/>
          <w:szCs w:val="22"/>
          <w:u w:val="single"/>
        </w:rPr>
        <w:t>$10</w:t>
      </w:r>
      <w:r w:rsidRPr="00515173">
        <w:rPr>
          <w:rFonts w:cs="Arial"/>
          <w:sz w:val="22"/>
          <w:szCs w:val="22"/>
          <w:u w:val="single"/>
        </w:rPr>
        <w:t>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xml:space="preserve">.  </w:t>
      </w:r>
      <w:r w:rsidRPr="00960485">
        <w:rPr>
          <w:rFonts w:cs="Arial"/>
          <w:sz w:val="22"/>
          <w:szCs w:val="22"/>
        </w:rPr>
        <w:t>Ingham County Land Bank, may let other contracts in connection with the work and the Contractor shall properly connect and coordinate his/her work with the work of such other Contractor.</w:t>
      </w:r>
      <w:r w:rsidRPr="00515173">
        <w:rPr>
          <w:rFonts w:cs="Arial"/>
          <w:sz w:val="22"/>
          <w:szCs w:val="22"/>
        </w:rPr>
        <w:t xml:space="preserve">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t>All work performed under this contract shall be completed in a good and reasonable workmanlike manner in strict adherence to the Work Specifications and governing codes and safety regulations</w:t>
      </w:r>
      <w:r w:rsidR="00264DA0">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481C25"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27033D" w:rsidRPr="00515173" w:rsidRDefault="0027033D" w:rsidP="0027033D">
      <w:pPr>
        <w:ind w:left="360"/>
        <w:rPr>
          <w:rFonts w:cs="Arial"/>
          <w:sz w:val="22"/>
          <w:szCs w:val="22"/>
          <w:u w:val="single"/>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Contractor agrees to comply with Land Bank’s requirements and </w:t>
      </w:r>
      <w:r w:rsidRPr="00515173">
        <w:rPr>
          <w:rFonts w:cs="Arial"/>
          <w:sz w:val="22"/>
          <w:szCs w:val="22"/>
        </w:rPr>
        <w:lastRenderedPageBreak/>
        <w:t>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481C25" w:rsidRPr="00515173" w:rsidRDefault="00481C25"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86571" w:rsidP="0027033D">
      <w:pPr>
        <w:tabs>
          <w:tab w:val="left" w:pos="5400"/>
        </w:tabs>
        <w:rPr>
          <w:rFonts w:cs="Arial"/>
          <w:sz w:val="22"/>
          <w:szCs w:val="22"/>
        </w:rPr>
      </w:pPr>
      <w:r>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w:t>
      </w:r>
      <w:r w:rsidR="00286571">
        <w:rPr>
          <w:rFonts w:cs="Arial"/>
          <w:sz w:val="22"/>
          <w:szCs w:val="22"/>
        </w:rPr>
        <w:t xml:space="preserve">  </w:t>
      </w:r>
      <w:r w:rsidRPr="00515173">
        <w:rPr>
          <w:rFonts w:cs="Arial"/>
          <w:sz w:val="22"/>
          <w:szCs w:val="22"/>
        </w:rPr>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00573036">
        <w:rPr>
          <w:rFonts w:cs="Arial"/>
          <w:sz w:val="22"/>
          <w:szCs w:val="22"/>
        </w:rPr>
        <w:t xml:space="preserve">   </w:t>
      </w:r>
      <w:r w:rsidR="00573036">
        <w:rPr>
          <w:rFonts w:cs="Arial"/>
          <w:sz w:val="22"/>
          <w:szCs w:val="22"/>
        </w:rPr>
        <w:tab/>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27033D" w:rsidRPr="00515173" w:rsidRDefault="0027033D" w:rsidP="00481C25">
      <w:pPr>
        <w:spacing w:line="360" w:lineRule="auto"/>
        <w:rPr>
          <w:rFonts w:cs="Arial"/>
          <w:sz w:val="22"/>
          <w:szCs w:val="22"/>
        </w:rPr>
      </w:pPr>
      <w:r w:rsidRPr="00515173">
        <w:rPr>
          <w:rFonts w:cs="Arial"/>
          <w:sz w:val="22"/>
          <w:szCs w:val="22"/>
        </w:rPr>
        <w:tab/>
        <w:t>The foregoing instrument was a</w:t>
      </w:r>
      <w:r w:rsidR="004505E7">
        <w:rPr>
          <w:rFonts w:cs="Arial"/>
          <w:sz w:val="22"/>
          <w:szCs w:val="22"/>
        </w:rPr>
        <w:t xml:space="preserve">cknowledged before me in ____________________ </w:t>
      </w:r>
      <w:r w:rsidRPr="00515173">
        <w:rPr>
          <w:rFonts w:cs="Arial"/>
          <w:sz w:val="22"/>
          <w:szCs w:val="22"/>
        </w:rPr>
        <w:t>County, Michigan, this _______ day of</w:t>
      </w:r>
      <w:r w:rsidR="00286571">
        <w:rPr>
          <w:rFonts w:cs="Arial"/>
          <w:sz w:val="22"/>
          <w:szCs w:val="22"/>
        </w:rPr>
        <w:t xml:space="preserve"> _________________</w:t>
      </w:r>
      <w:r w:rsidR="00822C80">
        <w:rPr>
          <w:rFonts w:cs="Arial"/>
          <w:sz w:val="22"/>
          <w:szCs w:val="22"/>
        </w:rPr>
        <w:t xml:space="preserve"> </w:t>
      </w:r>
      <w:r w:rsidR="00765ECA">
        <w:rPr>
          <w:rFonts w:cs="Arial"/>
          <w:sz w:val="22"/>
          <w:szCs w:val="22"/>
        </w:rPr>
        <w:t>20</w:t>
      </w:r>
      <w:r w:rsidR="00822C80">
        <w:rPr>
          <w:rFonts w:cs="Arial"/>
          <w:sz w:val="22"/>
          <w:szCs w:val="22"/>
        </w:rPr>
        <w:t>2</w:t>
      </w:r>
      <w:r w:rsidR="009F1F37">
        <w:rPr>
          <w:rFonts w:cs="Arial"/>
          <w:sz w:val="22"/>
          <w:szCs w:val="22"/>
        </w:rPr>
        <w:t>4</w:t>
      </w:r>
      <w:r w:rsidRPr="00515173">
        <w:rPr>
          <w:rFonts w:cs="Arial"/>
          <w:sz w:val="22"/>
          <w:szCs w:val="22"/>
        </w:rPr>
        <w:t>, by</w:t>
      </w:r>
      <w:r w:rsidR="00822C80">
        <w:rPr>
          <w:rFonts w:cs="Arial"/>
          <w:sz w:val="22"/>
          <w:szCs w:val="22"/>
        </w:rPr>
        <w:t xml:space="preserve"> </w:t>
      </w:r>
      <w:r w:rsidR="00286571">
        <w:rPr>
          <w:rFonts w:cs="Arial"/>
          <w:sz w:val="22"/>
          <w:szCs w:val="22"/>
        </w:rPr>
        <w:t>_</w:t>
      </w:r>
      <w:proofErr w:type="gramStart"/>
      <w:r w:rsidR="00286571">
        <w:rPr>
          <w:rFonts w:cs="Arial"/>
          <w:sz w:val="22"/>
          <w:szCs w:val="22"/>
        </w:rPr>
        <w:t>_  (</w:t>
      </w:r>
      <w:proofErr w:type="gramEnd"/>
      <w:r w:rsidR="00286571">
        <w:rPr>
          <w:rFonts w:cs="Arial"/>
          <w:sz w:val="22"/>
          <w:szCs w:val="22"/>
          <w:u w:val="single"/>
        </w:rPr>
        <w:t>CONTRACTOR NAME)</w:t>
      </w:r>
      <w:r w:rsidR="00286571">
        <w:rPr>
          <w:rFonts w:cs="Arial"/>
          <w:sz w:val="22"/>
          <w:szCs w:val="22"/>
        </w:rPr>
        <w:t xml:space="preserve">_______ </w:t>
      </w:r>
      <w:r w:rsidRPr="00515173">
        <w:rPr>
          <w:rFonts w:cs="Arial"/>
          <w:sz w:val="22"/>
          <w:szCs w:val="22"/>
        </w:rPr>
        <w:t xml:space="preserve">on behalf of </w:t>
      </w:r>
      <w:r w:rsidR="00286571">
        <w:rPr>
          <w:rFonts w:cs="Arial"/>
          <w:sz w:val="22"/>
          <w:szCs w:val="22"/>
        </w:rPr>
        <w:t>___</w:t>
      </w:r>
      <w:r w:rsidR="00286571">
        <w:rPr>
          <w:rFonts w:cs="Arial"/>
          <w:sz w:val="22"/>
          <w:szCs w:val="22"/>
          <w:u w:val="single"/>
        </w:rPr>
        <w:t xml:space="preserve">    (COMPANY NAME)</w:t>
      </w:r>
      <w:r w:rsidR="00286571">
        <w:rPr>
          <w:rFonts w:cs="Arial"/>
          <w:sz w:val="22"/>
          <w:szCs w:val="22"/>
        </w:rPr>
        <w:t>________</w:t>
      </w:r>
      <w:r w:rsidR="00822C80">
        <w:rPr>
          <w:rFonts w:cs="Arial"/>
          <w:sz w:val="22"/>
          <w:szCs w:val="22"/>
        </w:rPr>
        <w:t>.</w:t>
      </w:r>
      <w:r w:rsidR="004418B1">
        <w:rPr>
          <w:rFonts w:cs="Arial"/>
          <w:sz w:val="22"/>
          <w:szCs w:val="22"/>
        </w:rPr>
        <w:tab/>
      </w:r>
      <w:r w:rsidR="004418B1">
        <w:rPr>
          <w:rFonts w:cs="Arial"/>
          <w:sz w:val="22"/>
          <w:szCs w:val="22"/>
        </w:rPr>
        <w:tab/>
      </w:r>
      <w:r w:rsidR="004418B1">
        <w:rPr>
          <w:rFonts w:cs="Arial"/>
          <w:sz w:val="22"/>
          <w:szCs w:val="22"/>
        </w:rPr>
        <w:tab/>
      </w:r>
      <w:r w:rsidR="004418B1">
        <w:rPr>
          <w:rFonts w:cs="Arial"/>
          <w:sz w:val="22"/>
          <w:szCs w:val="22"/>
        </w:rPr>
        <w:tab/>
      </w:r>
      <w:r w:rsidR="004418B1">
        <w:rPr>
          <w:rFonts w:cs="Arial"/>
          <w:sz w:val="22"/>
          <w:szCs w:val="22"/>
        </w:rPr>
        <w:tab/>
      </w:r>
    </w:p>
    <w:p w:rsidR="0027033D" w:rsidRPr="00515173" w:rsidRDefault="0027033D" w:rsidP="0027033D">
      <w:pPr>
        <w:spacing w:line="260" w:lineRule="exact"/>
        <w:rPr>
          <w:rFonts w:cs="Arial"/>
          <w:sz w:val="22"/>
          <w:szCs w:val="22"/>
        </w:rPr>
      </w:pPr>
    </w:p>
    <w:p w:rsidR="0027033D" w:rsidRPr="00515173" w:rsidRDefault="0027033D"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0379AC" w:rsidP="00481C25">
      <w:pPr>
        <w:tabs>
          <w:tab w:val="left" w:pos="720"/>
          <w:tab w:val="left" w:pos="5400"/>
          <w:tab w:val="left" w:pos="6480"/>
          <w:tab w:val="right" w:leader="underscore" w:pos="9360"/>
        </w:tabs>
        <w:rPr>
          <w:rFonts w:cs="Arial"/>
          <w:sz w:val="22"/>
          <w:szCs w:val="22"/>
        </w:rPr>
      </w:pPr>
      <w:r>
        <w:rPr>
          <w:rFonts w:cs="Arial"/>
          <w:sz w:val="22"/>
          <w:szCs w:val="22"/>
        </w:rPr>
        <w:t xml:space="preserve">  By:  </w:t>
      </w:r>
      <w:r>
        <w:rPr>
          <w:rFonts w:cs="Arial"/>
          <w:sz w:val="22"/>
          <w:szCs w:val="22"/>
        </w:rPr>
        <w:tab/>
      </w:r>
      <w:r w:rsidR="001248EA">
        <w:rPr>
          <w:rFonts w:cs="Arial"/>
          <w:sz w:val="22"/>
          <w:szCs w:val="22"/>
        </w:rPr>
        <w:t>Roxanne L Case</w:t>
      </w:r>
      <w:r w:rsidR="00481C25" w:rsidRPr="00515173">
        <w:rPr>
          <w:rFonts w:cs="Arial"/>
          <w:sz w:val="22"/>
          <w:szCs w:val="22"/>
        </w:rPr>
        <w:t xml:space="preserve">  </w:t>
      </w:r>
      <w:r w:rsidR="00481C25"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Pr>
          <w:rFonts w:cs="Arial"/>
          <w:sz w:val="22"/>
          <w:szCs w:val="22"/>
        </w:rPr>
        <w:t xml:space="preserve"> </w:t>
      </w:r>
      <w:r w:rsidR="00286571">
        <w:rPr>
          <w:rFonts w:cs="Arial"/>
          <w:sz w:val="22"/>
          <w:szCs w:val="22"/>
        </w:rPr>
        <w:t>_________________</w:t>
      </w:r>
      <w:r w:rsidR="00765ECA">
        <w:rPr>
          <w:rFonts w:cs="Arial"/>
          <w:sz w:val="22"/>
          <w:szCs w:val="22"/>
        </w:rPr>
        <w:t>, 20</w:t>
      </w:r>
      <w:r w:rsidR="00822C80">
        <w:rPr>
          <w:rFonts w:cs="Arial"/>
          <w:sz w:val="22"/>
          <w:szCs w:val="22"/>
        </w:rPr>
        <w:t>2</w:t>
      </w:r>
      <w:r w:rsidR="009F1F37">
        <w:rPr>
          <w:rFonts w:cs="Arial"/>
          <w:sz w:val="22"/>
          <w:szCs w:val="22"/>
        </w:rPr>
        <w:t>4</w:t>
      </w:r>
      <w:r w:rsidRPr="00515173">
        <w:rPr>
          <w:rFonts w:cs="Arial"/>
          <w:sz w:val="22"/>
          <w:szCs w:val="22"/>
        </w:rPr>
        <w:t xml:space="preserve">, by </w:t>
      </w:r>
      <w:r w:rsidR="001248EA">
        <w:rPr>
          <w:rFonts w:cs="Arial"/>
          <w:sz w:val="22"/>
          <w:szCs w:val="22"/>
        </w:rPr>
        <w:t xml:space="preserve">Roxanne L Case </w:t>
      </w:r>
      <w:r w:rsidRPr="00515173">
        <w:rPr>
          <w:rFonts w:cs="Arial"/>
          <w:sz w:val="22"/>
          <w:szCs w:val="22"/>
        </w:rPr>
        <w:t>on behalf of the Ingham County Land Bank Fast Track Authority</w:t>
      </w:r>
      <w:r>
        <w:rPr>
          <w:rFonts w:cs="Arial"/>
          <w:sz w:val="22"/>
          <w:szCs w:val="22"/>
        </w:rPr>
        <w:t>.</w:t>
      </w:r>
    </w:p>
    <w:p w:rsidR="00481C25" w:rsidRPr="00515173" w:rsidRDefault="00481C25" w:rsidP="00481C25">
      <w:pPr>
        <w:spacing w:line="260" w:lineRule="exact"/>
        <w:rPr>
          <w:rFonts w:cs="Arial"/>
          <w:sz w:val="22"/>
          <w:szCs w:val="22"/>
        </w:rPr>
      </w:pP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95" w:rsidRDefault="004B5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D82F19">
      <w:rPr>
        <w:noProof/>
        <w:sz w:val="20"/>
      </w:rPr>
      <w:t>15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D82F19">
      <w:rPr>
        <w:noProof/>
        <w:sz w:val="20"/>
      </w:rPr>
      <w:t>15</w:t>
    </w:r>
    <w:r w:rsidRPr="00A91CD7">
      <w:rPr>
        <w:sz w:val="20"/>
      </w:rPr>
      <w:fldChar w:fldCharType="end"/>
    </w:r>
    <w:r>
      <w:rPr>
        <w:sz w:val="20"/>
      </w:rPr>
      <w:tab/>
    </w:r>
    <w:r w:rsidRPr="0027033D">
      <w:rPr>
        <w:i/>
        <w:sz w:val="16"/>
      </w:rPr>
      <w:t>Rev 2018 04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95" w:rsidRDefault="004B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95" w:rsidRDefault="004B5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938179"/>
      <w:docPartObj>
        <w:docPartGallery w:val="Watermarks"/>
        <w:docPartUnique/>
      </w:docPartObj>
    </w:sdtPr>
    <w:sdtContent>
      <w:p w:rsidR="004B5495" w:rsidRDefault="004B54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95" w:rsidRDefault="004B5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465EF2"/>
    <w:multiLevelType w:val="hybridMultilevel"/>
    <w:tmpl w:val="56B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2D3412"/>
    <w:multiLevelType w:val="hybridMultilevel"/>
    <w:tmpl w:val="B094B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C3C62"/>
    <w:multiLevelType w:val="hybridMultilevel"/>
    <w:tmpl w:val="5386D2C0"/>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9"/>
  </w:num>
  <w:num w:numId="5">
    <w:abstractNumId w:val="2"/>
  </w:num>
  <w:num w:numId="6">
    <w:abstractNumId w:val="1"/>
  </w:num>
  <w:num w:numId="7">
    <w:abstractNumId w:val="0"/>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3D"/>
    <w:rsid w:val="00011F79"/>
    <w:rsid w:val="0002625A"/>
    <w:rsid w:val="000272D5"/>
    <w:rsid w:val="000379AC"/>
    <w:rsid w:val="00047D08"/>
    <w:rsid w:val="0006044B"/>
    <w:rsid w:val="000805AD"/>
    <w:rsid w:val="000B61B8"/>
    <w:rsid w:val="001248EA"/>
    <w:rsid w:val="001471F2"/>
    <w:rsid w:val="00155DBA"/>
    <w:rsid w:val="002031E2"/>
    <w:rsid w:val="00247FED"/>
    <w:rsid w:val="00264DA0"/>
    <w:rsid w:val="00265766"/>
    <w:rsid w:val="0027033D"/>
    <w:rsid w:val="00286571"/>
    <w:rsid w:val="003043FC"/>
    <w:rsid w:val="004418B1"/>
    <w:rsid w:val="004505E7"/>
    <w:rsid w:val="00457728"/>
    <w:rsid w:val="00481C25"/>
    <w:rsid w:val="004B5495"/>
    <w:rsid w:val="004C1095"/>
    <w:rsid w:val="00573036"/>
    <w:rsid w:val="005B6C6B"/>
    <w:rsid w:val="005E784D"/>
    <w:rsid w:val="00625219"/>
    <w:rsid w:val="00635C9F"/>
    <w:rsid w:val="006742EE"/>
    <w:rsid w:val="006975D4"/>
    <w:rsid w:val="006F7F55"/>
    <w:rsid w:val="00747DD5"/>
    <w:rsid w:val="00765ECA"/>
    <w:rsid w:val="0077173C"/>
    <w:rsid w:val="007851E3"/>
    <w:rsid w:val="0079560A"/>
    <w:rsid w:val="007F181C"/>
    <w:rsid w:val="007F50DC"/>
    <w:rsid w:val="00822C80"/>
    <w:rsid w:val="008467D7"/>
    <w:rsid w:val="00851918"/>
    <w:rsid w:val="00900134"/>
    <w:rsid w:val="00960485"/>
    <w:rsid w:val="0096079A"/>
    <w:rsid w:val="00993FF1"/>
    <w:rsid w:val="009C00A7"/>
    <w:rsid w:val="009D45AF"/>
    <w:rsid w:val="009F1F37"/>
    <w:rsid w:val="00A73782"/>
    <w:rsid w:val="00A83CFF"/>
    <w:rsid w:val="00A924A8"/>
    <w:rsid w:val="00A95CA5"/>
    <w:rsid w:val="00AB0426"/>
    <w:rsid w:val="00AC100D"/>
    <w:rsid w:val="00B82F56"/>
    <w:rsid w:val="00BB1BB9"/>
    <w:rsid w:val="00BC433C"/>
    <w:rsid w:val="00BC75CA"/>
    <w:rsid w:val="00BD2BCE"/>
    <w:rsid w:val="00C26665"/>
    <w:rsid w:val="00C71F54"/>
    <w:rsid w:val="00CE68AF"/>
    <w:rsid w:val="00D82F19"/>
    <w:rsid w:val="00D8343D"/>
    <w:rsid w:val="00E44D20"/>
    <w:rsid w:val="00E95786"/>
    <w:rsid w:val="00E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9CC881"/>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ghamlandban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15</Pages>
  <Words>6828</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Roxanne Case</cp:lastModifiedBy>
  <cp:revision>24</cp:revision>
  <dcterms:created xsi:type="dcterms:W3CDTF">2021-02-25T18:02:00Z</dcterms:created>
  <dcterms:modified xsi:type="dcterms:W3CDTF">2024-03-06T20:08:00Z</dcterms:modified>
</cp:coreProperties>
</file>